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CC3A0D">
            <w:pPr>
              <w:framePr w:hSpace="180" w:wrap="auto" w:vAnchor="page" w:hAnchor="margin" w:x="358" w:y="905"/>
              <w:rPr>
                <w:sz w:val="28"/>
                <w:szCs w:val="28"/>
              </w:rPr>
            </w:pPr>
            <w:r w:rsidRPr="00207827">
              <w:rPr>
                <w:szCs w:val="24"/>
              </w:rPr>
              <w:t>«</w:t>
            </w:r>
            <w:r w:rsidR="004E6C9F">
              <w:rPr>
                <w:szCs w:val="24"/>
              </w:rPr>
              <w:t>1</w:t>
            </w:r>
            <w:r w:rsidR="00CC3A0D">
              <w:rPr>
                <w:szCs w:val="24"/>
              </w:rPr>
              <w:t>3</w:t>
            </w:r>
            <w:r w:rsidRPr="00207827">
              <w:rPr>
                <w:szCs w:val="24"/>
              </w:rPr>
              <w:t xml:space="preserve">» </w:t>
            </w:r>
            <w:r w:rsidR="004C6C12">
              <w:rPr>
                <w:szCs w:val="24"/>
              </w:rPr>
              <w:t xml:space="preserve"> </w:t>
            </w:r>
            <w:r w:rsidR="00CC3A0D">
              <w:rPr>
                <w:szCs w:val="24"/>
              </w:rPr>
              <w:t xml:space="preserve">июля </w:t>
            </w:r>
            <w:r w:rsidR="00CC3A0D" w:rsidRPr="00207827">
              <w:rPr>
                <w:szCs w:val="24"/>
              </w:rPr>
              <w:t xml:space="preserve"> </w:t>
            </w:r>
            <w:r>
              <w:rPr>
                <w:szCs w:val="24"/>
              </w:rPr>
              <w:t>202</w:t>
            </w:r>
            <w:r w:rsidR="004E6C9F">
              <w:rPr>
                <w:szCs w:val="24"/>
              </w:rPr>
              <w:t>2</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72342E">
            <w:pPr>
              <w:framePr w:hSpace="180" w:wrap="auto" w:vAnchor="page" w:hAnchor="margin" w:x="358" w:y="905"/>
              <w:rPr>
                <w:szCs w:val="24"/>
              </w:rPr>
            </w:pPr>
            <w:r>
              <w:rPr>
                <w:szCs w:val="24"/>
              </w:rPr>
              <w:t>АО «РЕГИОН ЭсМ»</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CC3A0D">
            <w:pPr>
              <w:framePr w:hSpace="180" w:wrap="auto" w:vAnchor="page" w:hAnchor="margin" w:x="358" w:y="905"/>
              <w:tabs>
                <w:tab w:val="left" w:pos="2722"/>
              </w:tabs>
              <w:rPr>
                <w:szCs w:val="24"/>
              </w:rPr>
            </w:pPr>
            <w:r w:rsidRPr="00207827">
              <w:rPr>
                <w:szCs w:val="24"/>
              </w:rPr>
              <w:t>«</w:t>
            </w:r>
            <w:r w:rsidR="004E6C9F">
              <w:rPr>
                <w:szCs w:val="24"/>
              </w:rPr>
              <w:t>1</w:t>
            </w:r>
            <w:r w:rsidR="00CC3A0D">
              <w:rPr>
                <w:szCs w:val="24"/>
              </w:rPr>
              <w:t>3</w:t>
            </w:r>
            <w:r w:rsidR="00AF5515" w:rsidRPr="00207827">
              <w:rPr>
                <w:szCs w:val="24"/>
              </w:rPr>
              <w:t xml:space="preserve">» </w:t>
            </w:r>
            <w:r w:rsidR="00CC3A0D">
              <w:rPr>
                <w:szCs w:val="24"/>
              </w:rPr>
              <w:t xml:space="preserve">июля  </w:t>
            </w:r>
            <w:r w:rsidR="00CC3A0D" w:rsidRPr="00207827">
              <w:rPr>
                <w:szCs w:val="24"/>
              </w:rPr>
              <w:t xml:space="preserve"> </w:t>
            </w:r>
            <w:r w:rsidR="00F115D7">
              <w:rPr>
                <w:szCs w:val="24"/>
              </w:rPr>
              <w:t>202</w:t>
            </w:r>
            <w:r w:rsidR="004E6C9F">
              <w:rPr>
                <w:szCs w:val="24"/>
              </w:rPr>
              <w:t>2</w:t>
            </w:r>
            <w:r w:rsidR="00781DD6">
              <w:rPr>
                <w:szCs w:val="24"/>
              </w:rPr>
              <w:t xml:space="preserve"> </w:t>
            </w:r>
            <w:r w:rsidR="00AD7AEA" w:rsidRPr="00207827">
              <w:rPr>
                <w:szCs w:val="24"/>
              </w:rPr>
              <w:t>г.</w:t>
            </w:r>
            <w:r w:rsidR="00AD7AEA" w:rsidRPr="00207827">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906E53" w:rsidRPr="00207827" w:rsidRDefault="00906E53" w:rsidP="00906E53">
      <w:pPr>
        <w:ind w:left="360"/>
        <w:rPr>
          <w:sz w:val="28"/>
          <w:szCs w:val="28"/>
        </w:rPr>
      </w:pPr>
    </w:p>
    <w:p w:rsidR="00AF145A" w:rsidRPr="00664B66" w:rsidRDefault="00AF145A" w:rsidP="00AF145A">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3</w:t>
      </w:r>
      <w:r w:rsidRPr="00664B66">
        <w:rPr>
          <w:b/>
          <w:szCs w:val="24"/>
        </w:rPr>
        <w:t xml:space="preserve"> в Правила определения стоимости чистых активов открытого паевого инвестиционного фонда </w:t>
      </w:r>
      <w:r w:rsidRPr="00717908">
        <w:rPr>
          <w:b/>
          <w:szCs w:val="24"/>
        </w:rPr>
        <w:t xml:space="preserve">«Открытый </w:t>
      </w:r>
      <w:r>
        <w:rPr>
          <w:b/>
          <w:szCs w:val="24"/>
        </w:rPr>
        <w:t>п</w:t>
      </w:r>
      <w:r w:rsidRPr="00717908">
        <w:rPr>
          <w:b/>
          <w:szCs w:val="24"/>
        </w:rPr>
        <w:t xml:space="preserve">аевой </w:t>
      </w:r>
      <w:r>
        <w:rPr>
          <w:b/>
          <w:szCs w:val="24"/>
        </w:rPr>
        <w:t>и</w:t>
      </w:r>
      <w:r w:rsidRPr="00717908">
        <w:rPr>
          <w:b/>
          <w:szCs w:val="24"/>
        </w:rPr>
        <w:t xml:space="preserve">нвестиционный </w:t>
      </w:r>
      <w:r>
        <w:rPr>
          <w:b/>
          <w:szCs w:val="24"/>
        </w:rPr>
        <w:t>ф</w:t>
      </w:r>
      <w:r w:rsidRPr="00717908">
        <w:rPr>
          <w:b/>
          <w:szCs w:val="24"/>
        </w:rPr>
        <w:t xml:space="preserve">онд </w:t>
      </w:r>
      <w:r w:rsidRPr="004C4973">
        <w:rPr>
          <w:b/>
          <w:szCs w:val="24"/>
        </w:rPr>
        <w:t>рыночных финансовых инструментов «</w:t>
      </w:r>
      <w:r w:rsidRPr="00C560B9">
        <w:rPr>
          <w:b/>
          <w:szCs w:val="24"/>
        </w:rPr>
        <w:t>РЕГИОН Доходные облигации</w:t>
      </w:r>
      <w:r w:rsidRPr="004C4973">
        <w:rPr>
          <w:b/>
          <w:szCs w:val="24"/>
        </w:rPr>
        <w:t>»</w:t>
      </w:r>
    </w:p>
    <w:p w:rsidR="00AF145A" w:rsidRPr="004C4973" w:rsidRDefault="00AF145A" w:rsidP="00AF145A">
      <w:pPr>
        <w:ind w:left="360"/>
        <w:jc w:val="center"/>
        <w:rPr>
          <w:b/>
          <w:szCs w:val="24"/>
        </w:rPr>
      </w:pPr>
    </w:p>
    <w:p w:rsidR="00AF145A" w:rsidRPr="00664B66" w:rsidRDefault="00AF145A" w:rsidP="00AF145A">
      <w:pPr>
        <w:ind w:left="360"/>
        <w:rPr>
          <w:szCs w:val="24"/>
        </w:rPr>
      </w:pPr>
    </w:p>
    <w:p w:rsidR="00AF145A" w:rsidRPr="00664B66" w:rsidRDefault="00AF145A" w:rsidP="00AF145A">
      <w:pPr>
        <w:ind w:left="360"/>
        <w:jc w:val="both"/>
        <w:rPr>
          <w:szCs w:val="24"/>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72342E">
      <w:pPr>
        <w:ind w:left="360"/>
        <w:rPr>
          <w:sz w:val="28"/>
          <w:szCs w:val="28"/>
        </w:rPr>
      </w:pPr>
    </w:p>
    <w:p w:rsidR="00A831A0" w:rsidRPr="00207827" w:rsidRDefault="00A831A0" w:rsidP="0072342E">
      <w:pPr>
        <w:ind w:left="360"/>
        <w:rPr>
          <w:sz w:val="28"/>
          <w:szCs w:val="28"/>
        </w:rPr>
      </w:pPr>
    </w:p>
    <w:p w:rsidR="00484282" w:rsidRPr="00207827" w:rsidRDefault="00484282" w:rsidP="0072342E">
      <w:pPr>
        <w:ind w:left="360"/>
        <w:rPr>
          <w:sz w:val="28"/>
          <w:szCs w:val="28"/>
        </w:rPr>
      </w:pPr>
    </w:p>
    <w:p w:rsidR="00484282" w:rsidRPr="00207827" w:rsidRDefault="00484282" w:rsidP="0072342E">
      <w:pPr>
        <w:jc w:val="center"/>
        <w:rPr>
          <w:b/>
          <w:bCs/>
          <w:sz w:val="34"/>
          <w:szCs w:val="34"/>
        </w:rPr>
      </w:pPr>
      <w:r w:rsidRPr="00207827">
        <w:rPr>
          <w:b/>
          <w:bCs/>
          <w:sz w:val="34"/>
          <w:szCs w:val="34"/>
        </w:rPr>
        <w:t>ПРАВИЛА</w:t>
      </w:r>
    </w:p>
    <w:p w:rsidR="00E67D84" w:rsidRPr="00287F00" w:rsidRDefault="00E67D84" w:rsidP="0072342E">
      <w:pPr>
        <w:ind w:left="-284" w:right="-284"/>
        <w:jc w:val="center"/>
        <w:rPr>
          <w:b/>
          <w:bCs/>
          <w:sz w:val="32"/>
          <w:szCs w:val="32"/>
        </w:rPr>
      </w:pPr>
      <w:r w:rsidRPr="00287F00">
        <w:rPr>
          <w:b/>
          <w:bCs/>
          <w:sz w:val="32"/>
          <w:szCs w:val="32"/>
        </w:rPr>
        <w:t xml:space="preserve">определения стоимости чистых активов </w:t>
      </w:r>
    </w:p>
    <w:p w:rsidR="00484282" w:rsidRPr="00B602F2" w:rsidRDefault="00D44DB3" w:rsidP="0072342E">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РЕГИОН Доходные облигации</w:t>
      </w:r>
      <w:r w:rsidRPr="00B602F2">
        <w:rPr>
          <w:b/>
          <w:bCs/>
          <w:sz w:val="32"/>
          <w:szCs w:val="32"/>
        </w:rPr>
        <w:t>»</w:t>
      </w:r>
      <w:r w:rsidR="00484282" w:rsidRPr="00B602F2">
        <w:rPr>
          <w:b/>
          <w:bCs/>
          <w:sz w:val="32"/>
          <w:szCs w:val="32"/>
        </w:rPr>
        <w:t xml:space="preserve"> </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DF7B1B" w:rsidRDefault="00DF7B1B" w:rsidP="0072342E"/>
    <w:p w:rsidR="00D44DB3" w:rsidRDefault="00D44DB3" w:rsidP="0072342E"/>
    <w:p w:rsidR="00532BF0" w:rsidRDefault="00532BF0" w:rsidP="0072342E"/>
    <w:p w:rsidR="00532BF0" w:rsidRDefault="00532BF0" w:rsidP="0072342E"/>
    <w:p w:rsidR="00532BF0" w:rsidRDefault="00532BF0" w:rsidP="0072342E"/>
    <w:p w:rsidR="00532BF0" w:rsidRDefault="00532BF0" w:rsidP="0072342E"/>
    <w:p w:rsidR="00532BF0" w:rsidRDefault="00532BF0"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D44DB3" w:rsidRPr="00F825E1">
        <w:rPr>
          <w:rFonts w:ascii="Times New Roman" w:hAnsi="Times New Roman"/>
          <w:sz w:val="24"/>
          <w:szCs w:val="24"/>
        </w:rPr>
        <w:t xml:space="preserve">Открытого паевого инвестиционного фонда </w:t>
      </w:r>
      <w:r w:rsidR="00D44DB3">
        <w:rPr>
          <w:rFonts w:ascii="Times New Roman" w:hAnsi="Times New Roman"/>
          <w:sz w:val="24"/>
          <w:szCs w:val="24"/>
        </w:rPr>
        <w:t>рыночных финансовых инструментов</w:t>
      </w:r>
      <w:r w:rsidR="00D44DB3" w:rsidRPr="000C6C4D">
        <w:rPr>
          <w:rFonts w:ascii="Times New Roman" w:hAnsi="Times New Roman"/>
          <w:sz w:val="24"/>
          <w:szCs w:val="24"/>
        </w:rPr>
        <w:t xml:space="preserve"> </w:t>
      </w:r>
      <w:r w:rsidR="00D44DB3" w:rsidRPr="00337DBE">
        <w:rPr>
          <w:rFonts w:ascii="Times New Roman" w:hAnsi="Times New Roman"/>
          <w:sz w:val="24"/>
          <w:szCs w:val="24"/>
        </w:rPr>
        <w:t>«</w:t>
      </w:r>
      <w:r w:rsidR="00D44DB3" w:rsidRPr="005C71F8">
        <w:rPr>
          <w:rFonts w:ascii="Times New Roman" w:hAnsi="Times New Roman"/>
          <w:sz w:val="24"/>
          <w:szCs w:val="24"/>
        </w:rPr>
        <w:t>РЕГИОН Доходные облигации</w:t>
      </w:r>
      <w:r w:rsidR="00D44DB3" w:rsidRPr="00337DBE">
        <w:rPr>
          <w:rFonts w:ascii="Times New Roman" w:hAnsi="Times New Roman"/>
          <w:sz w:val="24"/>
          <w:szCs w:val="24"/>
        </w:rPr>
        <w:t>»</w:t>
      </w:r>
      <w:r w:rsidR="00D44DB3" w:rsidDel="00337DBE">
        <w:rPr>
          <w:rFonts w:ascii="Times New Roman" w:hAnsi="Times New Roman"/>
          <w:sz w:val="24"/>
          <w:szCs w:val="24"/>
        </w:rPr>
        <w:t xml:space="preserve"> </w:t>
      </w:r>
      <w:r w:rsidR="00D44DB3" w:rsidRPr="00F825E1">
        <w:rPr>
          <w:rFonts w:ascii="Times New Roman" w:hAnsi="Times New Roman"/>
          <w:sz w:val="24"/>
          <w:szCs w:val="24"/>
        </w:rPr>
        <w:t xml:space="preserve">под управлением Акционерного общества «РЕГИОН Эссет Менеджмент» </w:t>
      </w:r>
      <w:r w:rsidR="00E67D84" w:rsidRPr="00F825E1">
        <w:rPr>
          <w:rFonts w:ascii="Times New Roman" w:hAnsi="Times New Roman"/>
          <w:sz w:val="24"/>
          <w:szCs w:val="24"/>
        </w:rPr>
        <w:t xml:space="preserve">(далее – Фонд) </w:t>
      </w:r>
      <w:r w:rsidRPr="00B602F2">
        <w:rPr>
          <w:rFonts w:ascii="Times New Roman" w:hAnsi="Times New Roman"/>
          <w:sz w:val="24"/>
          <w:szCs w:val="24"/>
        </w:rPr>
        <w:t xml:space="preserve">разработаны в соответствии с Указанием Центрального Банка Российской Федерации от 25 августа 2015 года </w:t>
      </w:r>
      <w:bookmarkStart w:id="2" w:name="_GoBack"/>
      <w:bookmarkEnd w:id="2"/>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4E6C9F" w:rsidRDefault="008068EC" w:rsidP="0072342E">
      <w:pPr>
        <w:pStyle w:val="a0"/>
      </w:pPr>
      <w:r w:rsidRPr="004E6C9F">
        <w:t xml:space="preserve">Правила определения СЧА </w:t>
      </w:r>
      <w:r w:rsidR="0042481A" w:rsidRPr="004E6C9F">
        <w:t xml:space="preserve">в настоящей редакции </w:t>
      </w:r>
      <w:r w:rsidRPr="004E6C9F">
        <w:t xml:space="preserve">применяются </w:t>
      </w:r>
      <w:r w:rsidR="0042481A" w:rsidRPr="004E6C9F">
        <w:t xml:space="preserve">с </w:t>
      </w:r>
      <w:r w:rsidR="004E6C9F" w:rsidRPr="004E6C9F">
        <w:t xml:space="preserve">29 </w:t>
      </w:r>
      <w:r w:rsidR="00CC3A0D">
        <w:t>ию</w:t>
      </w:r>
      <w:r w:rsidR="00CC3A0D" w:rsidRPr="004E6C9F">
        <w:t xml:space="preserve">ля   </w:t>
      </w:r>
      <w:r w:rsidR="0042481A" w:rsidRPr="004E6C9F">
        <w:t>20</w:t>
      </w:r>
      <w:r w:rsidR="00EC149B" w:rsidRPr="004E6C9F">
        <w:t>2</w:t>
      </w:r>
      <w:r w:rsidR="004E6C9F" w:rsidRPr="004E6C9F">
        <w:t>2</w:t>
      </w:r>
      <w:r w:rsidR="0042481A" w:rsidRPr="004E6C9F">
        <w:t>г.</w:t>
      </w:r>
      <w:r w:rsidRPr="004E6C9F">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1.5pt" o:ole="">
            <v:imagedata r:id="rId9" o:title=""/>
          </v:shape>
          <o:OLEObject Type="Embed" ProgID="Equation.3" ShapeID="_x0000_i1025" DrawAspect="Content" ObjectID="_1719229790"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9pt;height:16.5pt" o:ole="">
            <v:imagedata r:id="rId11" o:title=""/>
          </v:shape>
          <o:OLEObject Type="Embed" ProgID="Equation.3" ShapeID="_x0000_i1026" DrawAspect="Content" ObjectID="_1719229791"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19229792"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19.5pt" o:ole="">
            <v:imagedata r:id="rId15" o:title=""/>
          </v:shape>
          <o:OLEObject Type="Embed" ProgID="Equation.3" ShapeID="_x0000_i1028" DrawAspect="Content" ObjectID="_1719229793"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19.5pt" o:ole="">
            <v:imagedata r:id="rId17" o:title=""/>
          </v:shape>
          <o:OLEObject Type="Embed" ProgID="Equation.3" ShapeID="_x0000_i1029" DrawAspect="Content" ObjectID="_1719229794"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5pt;height:46.5pt" o:ole="">
            <v:imagedata r:id="rId19" o:title=""/>
          </v:shape>
          <o:OLEObject Type="Embed" ProgID="Equation.3" ShapeID="_x0000_i1030" DrawAspect="Content" ObjectID="_1719229795"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6.5pt;height:18.75pt" o:ole="">
            <v:imagedata r:id="rId21" o:title=""/>
          </v:shape>
          <o:OLEObject Type="Embed" ProgID="Equation.3" ShapeID="_x0000_i1031" DrawAspect="Content" ObjectID="_1719229796"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25pt;height:18.75pt" o:ole="">
            <v:imagedata r:id="rId23" o:title=""/>
          </v:shape>
          <o:OLEObject Type="Embed" ProgID="Equation.3" ShapeID="_x0000_i1032" DrawAspect="Content" ObjectID="_1719229797"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9pt;height:9pt" o:ole="">
            <v:imagedata r:id="rId25" o:title=""/>
          </v:shape>
          <o:OLEObject Type="Embed" ProgID="Equation.3" ShapeID="_x0000_i1033" DrawAspect="Content" ObjectID="_1719229798"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25pt;height:20.25pt" o:ole="">
            <v:imagedata r:id="rId27" o:title=""/>
          </v:shape>
          <o:OLEObject Type="Embed" ProgID="Equation.3" ShapeID="_x0000_i1034" DrawAspect="Content" ObjectID="_1719229799"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25pt;height:23.25pt" o:ole="">
            <v:imagedata r:id="rId29" o:title=""/>
          </v:shape>
          <o:OLEObject Type="Embed" ProgID="Equation.3" ShapeID="_x0000_i1035" DrawAspect="Content" ObjectID="_1719229800"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pt;height:19.5pt" o:ole="">
            <v:imagedata r:id="rId31" o:title=""/>
          </v:shape>
          <o:OLEObject Type="Embed" ProgID="Equation.3" ShapeID="_x0000_i1036" DrawAspect="Content" ObjectID="_1719229801"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1.5pt" o:ole="">
                  <v:imagedata r:id="rId33" o:title=""/>
                </v:shape>
                <o:OLEObject Type="Embed" ProgID="Equation.3" ShapeID="_x0000_i1038" DrawAspect="Content" ObjectID="_1719229802"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19.5pt" o:ole="">
            <v:imagedata r:id="rId35" o:title=""/>
          </v:shape>
          <o:OLEObject Type="Embed" ProgID="Equation.3" ShapeID="_x0000_i1039" DrawAspect="Content" ObjectID="_1719229803"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19.5pt" o:ole="">
            <v:imagedata r:id="rId37" o:title=""/>
          </v:shape>
          <o:OLEObject Type="Embed" ProgID="Equation.3" ShapeID="_x0000_i1040" DrawAspect="Content" ObjectID="_1719229804"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0.5pt;height:51.75pt" o:ole="">
            <v:imagedata r:id="rId39" o:title=""/>
          </v:shape>
          <o:OLEObject Type="Embed" ProgID="Equation.3" ShapeID="_x0000_i1041" DrawAspect="Content" ObjectID="_1719229805"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pt;height:19.5pt" o:ole="">
            <v:imagedata r:id="rId41" o:title=""/>
          </v:shape>
          <o:OLEObject Type="Embed" ProgID="Equation.3" ShapeID="_x0000_i1042" DrawAspect="Content" ObjectID="_1719229806"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19.5pt" o:ole="">
            <v:imagedata r:id="rId43" o:title=""/>
          </v:shape>
          <o:OLEObject Type="Embed" ProgID="Equation.3" ShapeID="_x0000_i1043" DrawAspect="Content" ObjectID="_1719229807"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19229808"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19.5pt" o:ole="">
            <v:imagedata r:id="rId46" o:title=""/>
          </v:shape>
          <o:OLEObject Type="Embed" ProgID="Equation.3" ShapeID="_x0000_i1045" DrawAspect="Content" ObjectID="_1719229809"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19.5pt" o:ole="">
            <v:imagedata r:id="rId43" o:title=""/>
          </v:shape>
          <o:OLEObject Type="Embed" ProgID="Equation.3" ShapeID="_x0000_i1046" DrawAspect="Content" ObjectID="_1719229810"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19.5pt" o:ole="">
            <v:imagedata r:id="rId46" o:title=""/>
          </v:shape>
          <o:OLEObject Type="Embed" ProgID="Equation.3" ShapeID="_x0000_i1047" DrawAspect="Content" ObjectID="_1719229811"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19.5pt" o:ole="">
            <v:imagedata r:id="rId43" o:title=""/>
          </v:shape>
          <o:OLEObject Type="Embed" ProgID="Equation.3" ShapeID="_x0000_i1048" DrawAspect="Content" ObjectID="_1719229812"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19.5pt" o:ole="">
            <v:imagedata r:id="rId51" o:title=""/>
          </v:shape>
          <o:OLEObject Type="Embed" ProgID="Equation.3" ShapeID="_x0000_i1049" DrawAspect="Content" ObjectID="_1719229813"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6.5pt" o:ole="">
            <v:imagedata r:id="rId53" o:title=""/>
          </v:shape>
          <o:OLEObject Type="Embed" ProgID="Equation.3" ShapeID="_x0000_i1050" DrawAspect="Content" ObjectID="_1719229814"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19.5pt" o:ole="">
            <v:imagedata r:id="rId43" o:title=""/>
          </v:shape>
          <o:OLEObject Type="Embed" ProgID="Equation.3" ShapeID="_x0000_i1051" DrawAspect="Content" ObjectID="_1719229815"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2pt" o:ole="">
            <v:imagedata r:id="rId56" o:title=""/>
          </v:shape>
          <o:OLEObject Type="Embed" ProgID="Equation.3" ShapeID="_x0000_i1052" DrawAspect="Content" ObjectID="_1719229816"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19.5pt" o:ole="">
            <v:imagedata r:id="rId58" o:title=""/>
          </v:shape>
          <o:OLEObject Type="Embed" ProgID="Equation.3" ShapeID="_x0000_i1053" DrawAspect="Content" ObjectID="_1719229817"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25pt;height:19.5pt" o:ole="">
            <v:imagedata r:id="rId60" o:title=""/>
          </v:shape>
          <o:OLEObject Type="Embed" ProgID="Equation.3" ShapeID="_x0000_i1054" DrawAspect="Content" ObjectID="_1719229818"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3pt" o:ole="">
            <v:imagedata r:id="rId62" o:title=""/>
          </v:shape>
          <o:OLEObject Type="Embed" ProgID="Equation.3" ShapeID="_x0000_i1055" DrawAspect="Content" ObjectID="_1719229819"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9pt;height:9pt" o:ole="">
            <v:imagedata r:id="rId25" o:title=""/>
          </v:shape>
          <o:OLEObject Type="Embed" ProgID="Equation.3" ShapeID="_x0000_i1056" DrawAspect="Content" ObjectID="_1719229820"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25pt;height:20.25pt" o:ole="">
            <v:imagedata r:id="rId27" o:title=""/>
          </v:shape>
          <o:OLEObject Type="Embed" ProgID="Equation.3" ShapeID="_x0000_i1057" DrawAspect="Content" ObjectID="_1719229821"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19.5pt" o:ole="">
            <v:imagedata r:id="rId46" o:title=""/>
          </v:shape>
          <o:OLEObject Type="Embed" ProgID="Equation.3" ShapeID="_x0000_i1058" DrawAspect="Content" ObjectID="_1719229822"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25pt;height:23.25pt" o:ole="">
            <v:imagedata r:id="rId29" o:title=""/>
          </v:shape>
          <o:OLEObject Type="Embed" ProgID="Equation.3" ShapeID="_x0000_i1059" DrawAspect="Content" ObjectID="_1719229823"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19.5pt" o:ole="">
            <v:imagedata r:id="rId46" o:title=""/>
          </v:shape>
          <o:OLEObject Type="Embed" ProgID="Equation.3" ShapeID="_x0000_i1060" DrawAspect="Content" ObjectID="_1719229824"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pt;height:19.5pt" o:ole="">
            <v:imagedata r:id="rId31" o:title=""/>
          </v:shape>
          <o:OLEObject Type="Embed" ProgID="Equation.3" ShapeID="_x0000_i1061" DrawAspect="Content" ObjectID="_1719229825"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19.5pt" o:ole="">
            <v:imagedata r:id="rId46" o:title=""/>
          </v:shape>
          <o:OLEObject Type="Embed" ProgID="Equation.3" ShapeID="_x0000_i1062" DrawAspect="Content" ObjectID="_1719229826"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6.5pt;height:19.5pt" o:ole="">
            <v:imagedata r:id="rId71" o:title=""/>
          </v:shape>
          <o:OLEObject Type="Embed" ProgID="Equation.3" ShapeID="_x0000_i1063" DrawAspect="Content" ObjectID="_1719229827"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pt;height:19.5pt" o:ole="">
            <v:imagedata r:id="rId31" o:title=""/>
          </v:shape>
          <o:OLEObject Type="Embed" ProgID="Equation.3" ShapeID="_x0000_i1064" DrawAspect="Content" ObjectID="_1719229828"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19.5pt" o:ole="">
            <v:imagedata r:id="rId46" o:title=""/>
          </v:shape>
          <o:OLEObject Type="Embed" ProgID="Equation.3" ShapeID="_x0000_i1065" DrawAspect="Content" ObjectID="_1719229829"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3pt" o:ole="">
            <v:imagedata r:id="rId75" o:title=""/>
          </v:shape>
          <o:OLEObject Type="Embed" ProgID="Equation.3" ShapeID="_x0000_i1066" DrawAspect="Content" ObjectID="_1719229830"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3.5pt;height:66.75pt" o:ole="">
              <v:imagedata r:id="rId77" o:title=""/>
            </v:shape>
            <o:OLEObject Type="Embed" ProgID="Equation.3" ShapeID="_x0000_i1067" DrawAspect="Content" ObjectID="_1719229831"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5pt;height:63pt" o:ole="">
                  <v:imagedata r:id="rId79" o:title=""/>
                </v:shape>
                <o:OLEObject Type="Embed" ProgID="Equation.3" ShapeID="_x0000_i1069" DrawAspect="Content" ObjectID="_1719229832"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19.5pt" o:ole="">
            <v:imagedata r:id="rId43" o:title=""/>
          </v:shape>
          <o:OLEObject Type="Embed" ProgID="Equation.3" ShapeID="_x0000_i1070" DrawAspect="Content" ObjectID="_1719229833"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6.5pt" o:ole="">
            <v:imagedata r:id="rId53" o:title=""/>
          </v:shape>
          <o:OLEObject Type="Embed" ProgID="Equation.3" ShapeID="_x0000_i1071" DrawAspect="Content" ObjectID="_1719229834"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1C1A88"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1C1A88"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1C1A88"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1C1A8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C1A8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1C1A88"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C1A8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1C1A8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1C1A88"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1C1A88"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1C1A88"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76257467" wp14:editId="15EF82D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72342E">
      <w:pPr>
        <w:rPr>
          <w:b/>
          <w:i/>
          <w:szCs w:val="24"/>
        </w:rPr>
      </w:pPr>
      <w:r w:rsidRPr="006D7089">
        <w:rPr>
          <w:b/>
          <w:i/>
          <w:szCs w:val="24"/>
        </w:rPr>
        <w:t>Облигации, номинированные в рублях.</w:t>
      </w:r>
    </w:p>
    <w:p w:rsidR="00E201F4" w:rsidRPr="00B602F2" w:rsidRDefault="00D7733C" w:rsidP="0072342E">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75pt;height:34.5pt" o:ole="">
            <v:imagedata r:id="rId84" o:title=""/>
          </v:shape>
          <o:OLEObject Type="Embed" ProgID="Equation.3" ShapeID="_x0000_i1072" DrawAspect="Content" ObjectID="_1719229835"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Default="00E201F4" w:rsidP="00887662">
      <w:r w:rsidRPr="00906E53">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Default="001C1A88" w:rsidP="00887662">
      <w:pPr>
        <w:rPr>
          <w:color w:val="1F497D"/>
        </w:rPr>
      </w:pPr>
      <w:hyperlink r:id="rId86" w:history="1">
        <w:r w:rsidR="00887662">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906E53">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7F38DF">
        <w:rPr>
          <w:szCs w:val="24"/>
        </w:rPr>
        <w:t xml:space="preserve">Государственные ценные бумаги Российской Федерации </w:t>
      </w:r>
      <w:r w:rsidR="005C5905">
        <w:rPr>
          <w:szCs w:val="24"/>
        </w:rPr>
        <w:t>в целях определения рейтинговой группы учитываются с</w:t>
      </w:r>
      <w:r w:rsidR="00514F17">
        <w:rPr>
          <w:szCs w:val="24"/>
        </w:rPr>
        <w:t xml:space="preserve"> </w:t>
      </w:r>
      <w:r w:rsidR="005C5905">
        <w:rPr>
          <w:szCs w:val="24"/>
        </w:rPr>
        <w:t>рейтингом</w:t>
      </w:r>
      <w:r w:rsidR="00514F17">
        <w:rPr>
          <w:szCs w:val="24"/>
        </w:rPr>
        <w:t xml:space="preserve"> РФ по состоянию на 01.02.2022</w:t>
      </w:r>
      <w:r w:rsidR="007F38DF">
        <w:rPr>
          <w:szCs w:val="24"/>
        </w:rPr>
        <w:t>.</w:t>
      </w:r>
      <w:r w:rsidRPr="00B602F2">
        <w:rPr>
          <w:szCs w:val="24"/>
        </w:rPr>
        <w:t xml:space="preserve"> </w:t>
      </w:r>
      <w:r w:rsidR="0072104B">
        <w:rPr>
          <w:szCs w:val="24"/>
        </w:rPr>
        <w:t xml:space="preserve">Через сопоставление  </w:t>
      </w:r>
      <w:r w:rsidR="0072104B" w:rsidRPr="00854A94">
        <w:rPr>
          <w:szCs w:val="24"/>
        </w:rPr>
        <w:t xml:space="preserve">рейтингов </w:t>
      </w:r>
      <w:r w:rsidR="0072104B" w:rsidRPr="00AA42CF">
        <w:rPr>
          <w:szCs w:val="24"/>
        </w:rPr>
        <w:t xml:space="preserve">с рейтингами АО «Эксперт РА» </w:t>
      </w:r>
      <w:r w:rsidR="0072104B">
        <w:rPr>
          <w:szCs w:val="24"/>
        </w:rPr>
        <w:t xml:space="preserve"> </w:t>
      </w:r>
    </w:p>
    <w:p w:rsidR="00FD2219" w:rsidRPr="001C2B7D" w:rsidRDefault="00FD2219" w:rsidP="0072342E">
      <w:pPr>
        <w:spacing w:after="120"/>
        <w:ind w:firstLine="426"/>
        <w:jc w:val="both"/>
        <w:rPr>
          <w:b/>
          <w:szCs w:val="24"/>
        </w:rPr>
      </w:pPr>
      <w:r w:rsidRPr="001C2B7D">
        <w:rPr>
          <w:b/>
          <w:szCs w:val="24"/>
        </w:rPr>
        <w:t>Таблица сопоставления рейтингов</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6"/>
        <w:gridCol w:w="1986"/>
        <w:gridCol w:w="1986"/>
      </w:tblGrid>
      <w:tr w:rsidR="00FD2219" w:rsidRPr="0047513D" w:rsidTr="001C2B7D">
        <w:trPr>
          <w:trHeight w:val="345"/>
          <w:jc w:val="center"/>
        </w:trPr>
        <w:tc>
          <w:tcPr>
            <w:tcW w:w="1685" w:type="dxa"/>
            <w:vMerge w:val="restart"/>
            <w:shd w:val="clear" w:color="auto" w:fill="D8D8D8"/>
            <w:vAlign w:val="center"/>
            <w:hideMark/>
          </w:tcPr>
          <w:p w:rsidR="00FD2219" w:rsidRPr="0047513D" w:rsidRDefault="00FD2219" w:rsidP="001C2B7D">
            <w:pPr>
              <w:jc w:val="center"/>
              <w:rPr>
                <w:b/>
                <w:bCs/>
                <w:szCs w:val="24"/>
              </w:rPr>
            </w:pPr>
            <w:r w:rsidRPr="0047513D">
              <w:rPr>
                <w:b/>
                <w:bCs/>
                <w:szCs w:val="24"/>
              </w:rPr>
              <w:t>Эксперт РА</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Moody`s</w:t>
            </w:r>
          </w:p>
        </w:tc>
        <w:tc>
          <w:tcPr>
            <w:tcW w:w="1986" w:type="dxa"/>
            <w:shd w:val="clear" w:color="auto" w:fill="D8D8D8"/>
            <w:vAlign w:val="center"/>
            <w:hideMark/>
          </w:tcPr>
          <w:p w:rsidR="00FD2219" w:rsidRPr="0047513D" w:rsidRDefault="00FD2219" w:rsidP="001C2B7D">
            <w:pPr>
              <w:jc w:val="center"/>
              <w:rPr>
                <w:b/>
                <w:bCs/>
                <w:szCs w:val="24"/>
              </w:rPr>
            </w:pPr>
            <w:r w:rsidRPr="0047513D">
              <w:rPr>
                <w:b/>
                <w:bCs/>
                <w:szCs w:val="24"/>
              </w:rPr>
              <w:t>S&amp;P</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Fitch</w:t>
            </w:r>
          </w:p>
        </w:tc>
      </w:tr>
      <w:tr w:rsidR="00FD2219" w:rsidRPr="0047513D" w:rsidTr="001C2B7D">
        <w:trPr>
          <w:trHeight w:val="345"/>
          <w:jc w:val="center"/>
        </w:trPr>
        <w:tc>
          <w:tcPr>
            <w:tcW w:w="1685" w:type="dxa"/>
            <w:vMerge/>
            <w:vAlign w:val="center"/>
            <w:hideMark/>
          </w:tcPr>
          <w:p w:rsidR="00FD2219" w:rsidRPr="0047513D" w:rsidRDefault="00FD2219" w:rsidP="001C2B7D">
            <w:pPr>
              <w:rPr>
                <w:b/>
                <w:bCs/>
                <w:szCs w:val="24"/>
              </w:rPr>
            </w:pP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433"/>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 ruA-, ruBBB+</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В1</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45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 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В2</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B3</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r>
      <w:tr w:rsidR="00FD2219" w:rsidRPr="0047513D" w:rsidTr="001C2B7D">
        <w:trPr>
          <w:trHeight w:val="345"/>
          <w:jc w:val="center"/>
        </w:trPr>
        <w:tc>
          <w:tcPr>
            <w:tcW w:w="1685" w:type="dxa"/>
            <w:shd w:val="clear" w:color="auto" w:fill="E5DFEC" w:themeFill="accent4" w:themeFillTint="33"/>
            <w:vAlign w:val="center"/>
          </w:tcPr>
          <w:p w:rsidR="00FD2219" w:rsidRPr="0047513D" w:rsidRDefault="00FD2219" w:rsidP="001C2B7D">
            <w:pPr>
              <w:jc w:val="center"/>
              <w:rPr>
                <w:szCs w:val="24"/>
              </w:rPr>
            </w:pPr>
            <w:r w:rsidRPr="0047513D">
              <w:rPr>
                <w:szCs w:val="24"/>
                <w:lang w:val="en-US"/>
              </w:rPr>
              <w:t>CCC, 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Caa, Ca,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r>
    </w:tbl>
    <w:p w:rsidR="00FD2219" w:rsidRDefault="00FD2219" w:rsidP="0072342E">
      <w:pPr>
        <w:spacing w:after="120"/>
        <w:ind w:firstLine="426"/>
        <w:jc w:val="both"/>
        <w:rPr>
          <w:szCs w:val="24"/>
        </w:rPr>
      </w:pPr>
    </w:p>
    <w:p w:rsidR="00E201F4" w:rsidRDefault="00E201F4" w:rsidP="0072342E">
      <w:pPr>
        <w:spacing w:after="120"/>
        <w:ind w:firstLine="426"/>
        <w:jc w:val="both"/>
        <w:rPr>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w:t>
      </w:r>
      <w:r w:rsidR="005C5905">
        <w:rPr>
          <w:szCs w:val="24"/>
        </w:rPr>
        <w:t>В случае отсутствия кредитного рейтинга у выпуска долговой ценной бумаги и эмитента при наличии государственной гарантии Российской Федерации</w:t>
      </w:r>
      <w:r w:rsidR="00516754">
        <w:rPr>
          <w:szCs w:val="24"/>
        </w:rPr>
        <w:t>, данная ценная бумага учитывается с рейтингом</w:t>
      </w:r>
      <w:r w:rsidR="00514F17">
        <w:rPr>
          <w:szCs w:val="24"/>
        </w:rPr>
        <w:t xml:space="preserve"> РФ по состоянию на 01.02.2022</w:t>
      </w:r>
      <w:r w:rsidR="00516754">
        <w:rPr>
          <w:szCs w:val="24"/>
        </w:rPr>
        <w:t xml:space="preserve">. </w:t>
      </w:r>
      <w:r w:rsidR="00D7733C" w:rsidRPr="006D7089">
        <w:rPr>
          <w:szCs w:val="24"/>
        </w:rPr>
        <w:t xml:space="preserve">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tbl>
      <w:tblPr>
        <w:tblW w:w="5000" w:type="pct"/>
        <w:jc w:val="center"/>
        <w:tblLook w:val="04A0" w:firstRow="1" w:lastRow="0" w:firstColumn="1" w:lastColumn="0" w:noHBand="0" w:noVBand="1"/>
      </w:tblPr>
      <w:tblGrid>
        <w:gridCol w:w="3482"/>
        <w:gridCol w:w="2523"/>
        <w:gridCol w:w="3508"/>
      </w:tblGrid>
      <w:tr w:rsidR="002802F8" w:rsidRPr="00906E53" w:rsidTr="002802F8">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w:t>
            </w:r>
          </w:p>
        </w:tc>
      </w:tr>
      <w:tr w:rsidR="002802F8" w:rsidRPr="00906E53" w:rsidTr="002802F8">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w:t>
            </w:r>
          </w:p>
        </w:tc>
      </w:tr>
      <w:tr w:rsidR="002802F8" w:rsidRPr="00906E53" w:rsidTr="002802F8">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lang w:val="en-US"/>
              </w:rPr>
            </w:pPr>
            <w:r w:rsidRPr="00906E53">
              <w:rPr>
                <w:color w:val="000000"/>
                <w:szCs w:val="24"/>
                <w:lang w:val="en-US"/>
              </w:rPr>
              <w:t xml:space="preserve">AA+(RU), AA(RU)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szCs w:val="24"/>
              </w:rPr>
            </w:pPr>
            <w:r w:rsidRPr="00906E53">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II</w:t>
            </w:r>
          </w:p>
        </w:tc>
      </w:tr>
      <w:tr w:rsidR="002802F8" w:rsidRPr="00906E53" w:rsidTr="002802F8">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lang w:val="en-US"/>
              </w:rPr>
              <w:t xml:space="preserve">AA-(RU), </w:t>
            </w:r>
            <w:r w:rsidRPr="00906E53">
              <w:rPr>
                <w:color w:val="000000"/>
                <w:szCs w:val="24"/>
              </w:rPr>
              <w:t xml:space="preserve">A+(RU)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A(RU)</w:t>
            </w:r>
            <w:r w:rsidRPr="00906E53">
              <w:rPr>
                <w:color w:val="000000"/>
                <w:szCs w:val="24"/>
                <w:lang w:val="en-US"/>
              </w:rPr>
              <w:t xml:space="preserve">, </w:t>
            </w:r>
            <w:r w:rsidRPr="00906E53">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 xml:space="preserve">BBB(RU) </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w:t>
            </w:r>
          </w:p>
          <w:p w:rsidR="002802F8" w:rsidRPr="00906E53" w:rsidRDefault="002802F8" w:rsidP="0072342E">
            <w:pPr>
              <w:jc w:val="center"/>
              <w:rPr>
                <w:color w:val="000000"/>
                <w:szCs w:val="24"/>
              </w:rPr>
            </w:pPr>
            <w:r w:rsidRPr="00906E53">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lang w:val="en-US"/>
              </w:rPr>
            </w:pPr>
            <w:r w:rsidRPr="00906E53">
              <w:rPr>
                <w:b/>
                <w:bCs/>
                <w:color w:val="000000"/>
                <w:szCs w:val="24"/>
              </w:rPr>
              <w:t>Рейтинговая группа II</w:t>
            </w:r>
            <w:r w:rsidRPr="00906E53">
              <w:rPr>
                <w:b/>
                <w:bCs/>
                <w:color w:val="000000"/>
                <w:szCs w:val="24"/>
                <w:lang w:val="en-US"/>
              </w:rPr>
              <w:t>I</w:t>
            </w: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E201F4" w:rsidRPr="00B602F2" w:rsidTr="002802F8">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906E53" w:rsidRDefault="00E201F4" w:rsidP="0072342E">
            <w:pPr>
              <w:jc w:val="center"/>
              <w:rPr>
                <w:color w:val="000000"/>
                <w:szCs w:val="24"/>
              </w:rPr>
            </w:pPr>
            <w:r w:rsidRPr="00906E53">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E201F4" w:rsidRPr="00B602F2" w:rsidRDefault="00E201F4" w:rsidP="0072342E">
            <w:pPr>
              <w:jc w:val="center"/>
              <w:rPr>
                <w:b/>
                <w:bCs/>
                <w:color w:val="000000"/>
                <w:szCs w:val="24"/>
                <w:lang w:val="en-US"/>
              </w:rPr>
            </w:pPr>
            <w:r w:rsidRPr="00906E53">
              <w:rPr>
                <w:b/>
                <w:bCs/>
                <w:color w:val="000000"/>
                <w:szCs w:val="24"/>
              </w:rPr>
              <w:t>Рейтинговая группа I</w:t>
            </w:r>
            <w:r w:rsidRPr="00906E53">
              <w:rPr>
                <w:b/>
                <w:bCs/>
                <w:color w:val="000000"/>
                <w:szCs w:val="24"/>
                <w:lang w:val="en-US"/>
              </w:rPr>
              <w:t>V</w:t>
            </w:r>
          </w:p>
        </w:tc>
      </w:tr>
    </w:tbl>
    <w:p w:rsidR="00E201F4" w:rsidRPr="00B602F2" w:rsidRDefault="00E201F4" w:rsidP="0072342E">
      <w:pPr>
        <w:spacing w:after="120"/>
        <w:rPr>
          <w:szCs w:val="24"/>
        </w:rPr>
      </w:pPr>
    </w:p>
    <w:p w:rsidR="00E201F4" w:rsidRPr="00B602F2" w:rsidRDefault="00E201F4"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72342E">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72342E">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72342E">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72342E">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72342E">
      <w:pPr>
        <w:spacing w:after="120"/>
        <w:ind w:firstLine="426"/>
        <w:jc w:val="both"/>
        <w:rPr>
          <w:b/>
          <w:szCs w:val="24"/>
        </w:rPr>
      </w:pPr>
      <w:r w:rsidRPr="00B602F2">
        <w:rPr>
          <w:b/>
          <w:szCs w:val="24"/>
        </w:rPr>
        <w:t>Рейтинговая группа 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1C1A88"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72342E">
      <w:pPr>
        <w:spacing w:after="120"/>
        <w:ind w:firstLine="426"/>
        <w:jc w:val="both"/>
        <w:rPr>
          <w:szCs w:val="24"/>
        </w:rPr>
      </w:pPr>
    </w:p>
    <w:p w:rsidR="00E201F4" w:rsidRPr="00207827" w:rsidRDefault="00E201F4" w:rsidP="0072342E">
      <w:pPr>
        <w:spacing w:after="120"/>
        <w:ind w:firstLine="426"/>
        <w:jc w:val="both"/>
        <w:rPr>
          <w:szCs w:val="24"/>
        </w:rPr>
      </w:pPr>
      <w:r w:rsidRPr="00207827">
        <w:rPr>
          <w:szCs w:val="24"/>
        </w:rPr>
        <w:t>где:</w:t>
      </w:r>
    </w:p>
    <w:p w:rsidR="00E201F4"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72342E">
      <w:pPr>
        <w:spacing w:after="120"/>
        <w:ind w:firstLine="426"/>
        <w:jc w:val="both"/>
        <w:rPr>
          <w:szCs w:val="24"/>
        </w:rPr>
      </w:pPr>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1C1A88"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1C1A88"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IV</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1C1A88"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1C1A88"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72342E">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72342E">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72342E">
      <w:pPr>
        <w:rPr>
          <w:b/>
          <w:szCs w:val="24"/>
          <w:u w:val="single"/>
        </w:rPr>
      </w:pPr>
    </w:p>
    <w:p w:rsidR="00E201F4" w:rsidRPr="007F610B"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72342E">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1C2B7D" w:rsidRDefault="00E201F4" w:rsidP="0072342E">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005C5905">
        <w:rPr>
          <w:szCs w:val="24"/>
        </w:rPr>
        <w:t>.</w:t>
      </w:r>
      <w:r w:rsidRPr="00207827">
        <w:rPr>
          <w:szCs w:val="24"/>
        </w:rPr>
        <w:t xml:space="preserve"> </w:t>
      </w:r>
      <w:r w:rsidR="00017218">
        <w:rPr>
          <w:szCs w:val="24"/>
        </w:rPr>
        <w:t>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w:t>
      </w:r>
      <w:r w:rsidR="005C5905">
        <w:rPr>
          <w:szCs w:val="24"/>
        </w:rPr>
        <w:t xml:space="preserve"> </w:t>
      </w:r>
      <w:r w:rsidR="00017218">
        <w:rPr>
          <w:szCs w:val="24"/>
        </w:rPr>
        <w:t>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 xml:space="preserve">. </w:t>
      </w:r>
      <w:r w:rsidRPr="00207827">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5000" w:type="pct"/>
        <w:jc w:val="center"/>
        <w:tblLook w:val="04A0" w:firstRow="1" w:lastRow="0" w:firstColumn="1" w:lastColumn="0" w:noHBand="0" w:noVBand="1"/>
      </w:tblPr>
      <w:tblGrid>
        <w:gridCol w:w="3482"/>
        <w:gridCol w:w="2523"/>
        <w:gridCol w:w="3508"/>
      </w:tblGrid>
      <w:tr w:rsidR="00D309DF"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w:t>
            </w:r>
          </w:p>
        </w:tc>
      </w:tr>
      <w:tr w:rsidR="00D309DF" w:rsidRPr="00B602F2" w:rsidTr="001C2B7D">
        <w:trPr>
          <w:trHeight w:val="403"/>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w:t>
            </w:r>
          </w:p>
        </w:tc>
      </w:tr>
      <w:tr w:rsidR="00D309DF"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II</w:t>
            </w:r>
          </w:p>
        </w:tc>
      </w:tr>
      <w:tr w:rsidR="00D309DF"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w:t>
            </w:r>
          </w:p>
          <w:p w:rsidR="00D309DF" w:rsidRPr="00B602F2" w:rsidRDefault="00D309DF" w:rsidP="0072342E">
            <w:pPr>
              <w:jc w:val="center"/>
              <w:rPr>
                <w:color w:val="000000"/>
                <w:szCs w:val="24"/>
              </w:rPr>
            </w:pPr>
            <w:r w:rsidRPr="00B602F2">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683B05" w:rsidRDefault="00D309DF"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D309DF" w:rsidRPr="001C2B7D" w:rsidRDefault="00D309DF" w:rsidP="0072342E">
      <w:pPr>
        <w:ind w:firstLine="426"/>
        <w:jc w:val="both"/>
        <w:rPr>
          <w:szCs w:val="24"/>
          <w:lang w:val="en-US"/>
        </w:rPr>
      </w:pPr>
    </w:p>
    <w:p w:rsidR="00E201F4" w:rsidRPr="001C57DA" w:rsidRDefault="00E201F4" w:rsidP="0072342E">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72342E">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72342E">
      <w:pPr>
        <w:autoSpaceDE w:val="0"/>
        <w:autoSpaceDN w:val="0"/>
        <w:adjustRightInd w:val="0"/>
        <w:ind w:left="426"/>
        <w:jc w:val="both"/>
        <w:rPr>
          <w:szCs w:val="24"/>
        </w:rPr>
      </w:pPr>
    </w:p>
    <w:p w:rsidR="00E201F4" w:rsidRPr="00207827" w:rsidRDefault="001C1A88" w:rsidP="0072342E">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72342E">
      <w:pPr>
        <w:autoSpaceDE w:val="0"/>
        <w:autoSpaceDN w:val="0"/>
        <w:adjustRightInd w:val="0"/>
        <w:ind w:left="426"/>
        <w:jc w:val="both"/>
        <w:rPr>
          <w:szCs w:val="24"/>
        </w:rPr>
      </w:pPr>
      <w:r w:rsidRPr="00207827">
        <w:rPr>
          <w:szCs w:val="24"/>
        </w:rPr>
        <w:t>где,</w:t>
      </w:r>
    </w:p>
    <w:p w:rsidR="00E201F4" w:rsidRPr="00207827" w:rsidRDefault="001C1A88" w:rsidP="0072342E">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1C1A88" w:rsidP="0072342E">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72342E">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953C10" w:rsidRDefault="00953C10" w:rsidP="0072342E">
      <w:pPr>
        <w:ind w:firstLine="426"/>
        <w:jc w:val="both"/>
        <w:rPr>
          <w:szCs w:val="24"/>
        </w:rPr>
      </w:pPr>
    </w:p>
    <w:p w:rsidR="00ED16C2" w:rsidRPr="00B602F2" w:rsidRDefault="001B1FD4" w:rsidP="0072342E">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72342E">
      <w:pPr>
        <w:jc w:val="center"/>
        <w:rPr>
          <w:color w:val="0D0D0D"/>
          <w:szCs w:val="24"/>
        </w:rPr>
      </w:pPr>
      <w:r w:rsidRPr="00207827">
        <w:rPr>
          <w:noProof/>
          <w:position w:val="-30"/>
          <w:szCs w:val="24"/>
        </w:rPr>
        <w:object w:dxaOrig="2900" w:dyaOrig="700" w14:anchorId="664DD01C">
          <v:shape id="_x0000_i1073" type="#_x0000_t75" style="width:144.75pt;height:34.5pt" o:ole="">
            <v:imagedata r:id="rId84" o:title=""/>
          </v:shape>
          <o:OLEObject Type="Embed" ProgID="Equation.3" ShapeID="_x0000_i1073" DrawAspect="Content" ObjectID="_1719229836" r:id="rId87"/>
        </w:object>
      </w:r>
    </w:p>
    <w:p w:rsidR="00ED16C2" w:rsidRPr="00B602F2" w:rsidRDefault="00ED16C2"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72342E">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72342E">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72342E">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CC3A0D" w:rsidRDefault="00ED16C2" w:rsidP="00CC3A0D">
      <w:pPr>
        <w:rPr>
          <w:color w:val="1F497D"/>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002500AB">
        <w:rPr>
          <w:rStyle w:val="a7"/>
          <w:szCs w:val="24"/>
        </w:rPr>
        <w:t xml:space="preserve"> </w:t>
      </w:r>
      <w:hyperlink r:id="rId89" w:history="1">
        <w:r w:rsidR="002500AB">
          <w:rPr>
            <w:rStyle w:val="a7"/>
          </w:rPr>
          <w:t>https://www.spglobal.com/ratings/en/research/articles/220413-default-transition-and-recovery-2021-annual-global-corporate-default-and-rating-transition-study-12336975</w:t>
        </w:r>
      </w:hyperlink>
      <w:r w:rsidRPr="00207827">
        <w:rPr>
          <w:szCs w:val="24"/>
        </w:rPr>
        <w:t>, таблица 9).</w:t>
      </w:r>
    </w:p>
    <w:p w:rsidR="00ED16C2" w:rsidRPr="00B602F2" w:rsidRDefault="00ED16C2" w:rsidP="0072342E">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w:t>
      </w:r>
      <w:r w:rsidR="00017218">
        <w:rPr>
          <w:szCs w:val="24"/>
        </w:rPr>
        <w:t xml:space="preserve"> 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 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w:t>
      </w:r>
      <w:r w:rsidRPr="00B602F2">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7A3DE0" w:rsidRDefault="007A3DE0" w:rsidP="0072342E">
      <w:pPr>
        <w:spacing w:after="120"/>
        <w:ind w:firstLine="426"/>
        <w:jc w:val="both"/>
        <w:rPr>
          <w:szCs w:val="24"/>
        </w:rPr>
      </w:pPr>
    </w:p>
    <w:p w:rsidR="007A3DE0" w:rsidRDefault="007A3DE0" w:rsidP="0072342E">
      <w:pPr>
        <w:spacing w:after="120"/>
        <w:ind w:firstLine="426"/>
        <w:jc w:val="both"/>
        <w:rPr>
          <w:szCs w:val="24"/>
        </w:rPr>
      </w:pPr>
    </w:p>
    <w:p w:rsidR="00F115D7" w:rsidRPr="00B602F2" w:rsidRDefault="00F115D7" w:rsidP="0072342E">
      <w:pPr>
        <w:spacing w:after="120"/>
        <w:ind w:firstLine="426"/>
        <w:jc w:val="both"/>
        <w:rPr>
          <w:szCs w:val="24"/>
        </w:rPr>
      </w:pPr>
    </w:p>
    <w:tbl>
      <w:tblPr>
        <w:tblW w:w="5000" w:type="pct"/>
        <w:jc w:val="center"/>
        <w:tblLook w:val="04A0" w:firstRow="1" w:lastRow="0" w:firstColumn="1" w:lastColumn="0" w:noHBand="0" w:noVBand="1"/>
      </w:tblPr>
      <w:tblGrid>
        <w:gridCol w:w="3482"/>
        <w:gridCol w:w="2523"/>
        <w:gridCol w:w="3508"/>
      </w:tblGrid>
      <w:tr w:rsidR="001E2F4E"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w:t>
            </w:r>
          </w:p>
        </w:tc>
      </w:tr>
      <w:tr w:rsidR="001E2F4E" w:rsidRPr="00B602F2" w:rsidTr="007F38DF">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w:t>
            </w:r>
          </w:p>
        </w:tc>
      </w:tr>
      <w:tr w:rsidR="001E2F4E"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II</w:t>
            </w:r>
          </w:p>
        </w:tc>
      </w:tr>
      <w:tr w:rsidR="001E2F4E"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w:t>
            </w:r>
          </w:p>
          <w:p w:rsidR="001E2F4E" w:rsidRPr="00B602F2" w:rsidRDefault="001E2F4E" w:rsidP="009E392C">
            <w:pPr>
              <w:jc w:val="center"/>
              <w:rPr>
                <w:color w:val="000000"/>
                <w:szCs w:val="24"/>
              </w:rPr>
            </w:pPr>
            <w:r w:rsidRPr="00B602F2">
              <w:rPr>
                <w:color w:val="000000"/>
                <w:szCs w:val="24"/>
              </w:rPr>
              <w:t>ru</w:t>
            </w:r>
            <w:r w:rsidR="009E392C">
              <w:rPr>
                <w:color w:val="000000"/>
                <w:szCs w:val="24"/>
              </w:rPr>
              <w:t>ВВ</w:t>
            </w:r>
            <w:r w:rsidRPr="00B602F2">
              <w:rPr>
                <w:color w:val="000000"/>
                <w:szCs w:val="24"/>
              </w:rPr>
              <w:t>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683B05" w:rsidRDefault="001E2F4E"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1E2F4E" w:rsidRPr="001C2B7D" w:rsidRDefault="001E2F4E" w:rsidP="0072342E">
      <w:pPr>
        <w:spacing w:after="120"/>
        <w:rPr>
          <w:szCs w:val="24"/>
          <w:lang w:val="en-US"/>
        </w:rPr>
      </w:pPr>
    </w:p>
    <w:p w:rsidR="00ED16C2" w:rsidRPr="00B602F2" w:rsidRDefault="00ED16C2"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72342E">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72342E">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1C1A8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1C1A8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1C1A8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1C1A8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1C1A88"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1C1A8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1C1A8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1C1A8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1C2B7D">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1C1A88"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1C1A88"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1C1A88"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1C1A88"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72342E">
      <w:pPr>
        <w:ind w:firstLine="426"/>
        <w:rPr>
          <w:szCs w:val="24"/>
        </w:rPr>
      </w:pPr>
    </w:p>
    <w:p w:rsidR="000E058F" w:rsidRDefault="001C1A8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1C1A88"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1C1A8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1C1A88"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1C1A88"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1C1A88"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1C1A88"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1C1A88"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1C1A88"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1C1A88"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1C1A8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1C1A88"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1C1A88"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410"/>
        <w:gridCol w:w="2110"/>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3"/>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183"/>
        <w:gridCol w:w="1566"/>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14"/>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5"/>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1C1A88"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6"/>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17"/>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585C5E"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585C5E"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90"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91"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2"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3"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4"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5"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6"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7"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8"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9"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100" w:history="1">
        <w:r w:rsidRPr="001F6755">
          <w:rPr>
            <w:rFonts w:eastAsiaTheme="minorHAnsi"/>
            <w:color w:val="0000FF" w:themeColor="hyperlink"/>
            <w:szCs w:val="24"/>
            <w:u w:val="single"/>
            <w:lang w:eastAsia="en-US"/>
          </w:rPr>
          <w:t>https://bankruptcy.kommersant.ru</w:t>
        </w:r>
      </w:hyperlink>
    </w:p>
    <w:p w:rsidR="009F5BCD" w:rsidRPr="00BD0E66" w:rsidRDefault="001F6755" w:rsidP="0072342E">
      <w:pPr>
        <w:pStyle w:val="affb"/>
        <w:jc w:val="left"/>
        <w:rPr>
          <w:color w:val="000000"/>
          <w:szCs w:val="22"/>
        </w:rPr>
      </w:pPr>
      <w:r w:rsidRPr="001F6755">
        <w:rPr>
          <w:rFonts w:eastAsiaTheme="minorHAnsi"/>
          <w:lang w:eastAsia="en-US"/>
        </w:rPr>
        <w:br w:type="page"/>
      </w:r>
      <w:bookmarkStart w:id="45" w:name="_Toc66447217"/>
      <w:r w:rsidR="005D27E1">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1C2B7D">
      <w:pPr>
        <w:spacing w:after="157"/>
        <w:rPr>
          <w:color w:val="000000"/>
          <w:szCs w:val="22"/>
        </w:rPr>
      </w:pPr>
      <w:r w:rsidRPr="009F5BCD">
        <w:rPr>
          <w:b/>
          <w:color w:val="000000"/>
          <w:szCs w:val="22"/>
        </w:rPr>
        <w:t xml:space="preserve"> </w:t>
      </w:r>
    </w:p>
    <w:p w:rsidR="009F5BCD" w:rsidRPr="009F5BCD" w:rsidRDefault="009F5BCD" w:rsidP="001C2B7D">
      <w:pPr>
        <w:spacing w:after="154"/>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1C2B7D">
      <w:pPr>
        <w:numPr>
          <w:ilvl w:val="0"/>
          <w:numId w:val="149"/>
        </w:numPr>
        <w:spacing w:after="52"/>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1C2B7D">
      <w:pPr>
        <w:numPr>
          <w:ilvl w:val="0"/>
          <w:numId w:val="149"/>
        </w:numPr>
        <w:spacing w:after="14"/>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8"/>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19"/>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1C2B7D">
      <w:pPr>
        <w:numPr>
          <w:ilvl w:val="1"/>
          <w:numId w:val="149"/>
        </w:numPr>
        <w:spacing w:after="8"/>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01">
        <w:r w:rsidRPr="009F5BCD">
          <w:rPr>
            <w:color w:val="000000"/>
            <w:szCs w:val="22"/>
          </w:rPr>
          <w:t xml:space="preserve"> </w:t>
        </w:r>
      </w:hyperlink>
      <w:hyperlink r:id="rId102">
        <w:r w:rsidRPr="009F5BCD">
          <w:rPr>
            <w:color w:val="000000"/>
            <w:szCs w:val="22"/>
            <w:u w:val="single" w:color="000000"/>
          </w:rPr>
          <w:t>http://moex.com/a2197</w:t>
        </w:r>
      </w:hyperlink>
      <w:hyperlink r:id="rId103">
        <w:r w:rsidRPr="009F5BCD">
          <w:rPr>
            <w:color w:val="000000"/>
            <w:szCs w:val="22"/>
          </w:rPr>
          <w:t>.</w:t>
        </w:r>
      </w:hyperlink>
      <w:r w:rsidRPr="009F5BCD">
        <w:rPr>
          <w:color w:val="000000"/>
          <w:szCs w:val="22"/>
        </w:rPr>
        <w:t xml:space="preserve"> </w:t>
      </w:r>
    </w:p>
    <w:p w:rsidR="009F5BCD" w:rsidRPr="009F5BCD" w:rsidRDefault="009F5BCD" w:rsidP="001C2B7D">
      <w:pPr>
        <w:spacing w:after="179"/>
        <w:ind w:left="989" w:right="54" w:hanging="10"/>
        <w:jc w:val="both"/>
        <w:rPr>
          <w:color w:val="000000"/>
          <w:szCs w:val="22"/>
        </w:rPr>
      </w:pPr>
      <w:r w:rsidRPr="009F5BCD">
        <w:rPr>
          <w:color w:val="000000"/>
          <w:szCs w:val="22"/>
        </w:rPr>
        <w:t>Архив значений -</w:t>
      </w:r>
      <w:hyperlink r:id="rId104">
        <w:r w:rsidRPr="009F5BCD">
          <w:rPr>
            <w:color w:val="000000"/>
            <w:szCs w:val="22"/>
          </w:rPr>
          <w:t xml:space="preserve"> </w:t>
        </w:r>
      </w:hyperlink>
      <w:hyperlink r:id="rId105">
        <w:r w:rsidRPr="009F5BCD">
          <w:rPr>
            <w:color w:val="000000"/>
            <w:szCs w:val="22"/>
            <w:u w:val="single" w:color="000000"/>
          </w:rPr>
          <w:t>http://moex.com/ru/index/RUCBITRBBB3Y/archive</w:t>
        </w:r>
      </w:hyperlink>
      <w:hyperlink r:id="rId106">
        <w:r w:rsidRPr="009F5BCD">
          <w:rPr>
            <w:color w:val="000000"/>
            <w:szCs w:val="22"/>
          </w:rPr>
          <w:t xml:space="preserve"> </w:t>
        </w:r>
      </w:hyperlink>
    </w:p>
    <w:p w:rsidR="009F5BCD" w:rsidRPr="009F5BCD" w:rsidRDefault="009F5BCD" w:rsidP="001C2B7D">
      <w:pPr>
        <w:numPr>
          <w:ilvl w:val="1"/>
          <w:numId w:val="149"/>
        </w:numPr>
        <w:spacing w:after="75"/>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1C2B7D">
      <w:pPr>
        <w:spacing w:after="133"/>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 xml:space="preserve">Описание индекса -  </w:t>
      </w:r>
      <w:hyperlink r:id="rId107">
        <w:r w:rsidRPr="009F5BCD">
          <w:rPr>
            <w:color w:val="000000"/>
            <w:szCs w:val="22"/>
            <w:u w:val="single" w:color="000000"/>
          </w:rPr>
          <w:t>http://moex.com/a2196</w:t>
        </w:r>
      </w:hyperlink>
      <w:hyperlink r:id="rId108">
        <w:r w:rsidRPr="009F5BCD">
          <w:rPr>
            <w:color w:val="000000"/>
            <w:szCs w:val="22"/>
          </w:rPr>
          <w:t xml:space="preserve"> </w:t>
        </w:r>
      </w:hyperlink>
    </w:p>
    <w:p w:rsidR="009F5BCD" w:rsidRPr="009F5BCD" w:rsidRDefault="009F5BCD" w:rsidP="001C2B7D">
      <w:pPr>
        <w:spacing w:after="176"/>
        <w:ind w:left="989" w:right="54" w:hanging="10"/>
        <w:jc w:val="both"/>
        <w:rPr>
          <w:color w:val="000000"/>
          <w:szCs w:val="22"/>
        </w:rPr>
      </w:pPr>
      <w:r w:rsidRPr="009F5BCD">
        <w:rPr>
          <w:color w:val="000000"/>
          <w:szCs w:val="22"/>
        </w:rPr>
        <w:t>Архив значений -</w:t>
      </w:r>
      <w:hyperlink r:id="rId109">
        <w:r w:rsidRPr="009F5BCD">
          <w:rPr>
            <w:color w:val="000000"/>
            <w:szCs w:val="22"/>
          </w:rPr>
          <w:t xml:space="preserve"> </w:t>
        </w:r>
      </w:hyperlink>
      <w:hyperlink r:id="rId110">
        <w:r w:rsidRPr="009F5BCD">
          <w:rPr>
            <w:color w:val="000000"/>
            <w:szCs w:val="22"/>
            <w:u w:val="single" w:color="000000"/>
          </w:rPr>
          <w:t>http://moex.com/ru/index/RUCBITRBB3Y/archive</w:t>
        </w:r>
      </w:hyperlink>
      <w:hyperlink r:id="rId111">
        <w:r w:rsidRPr="009F5BCD">
          <w:rPr>
            <w:color w:val="000000"/>
            <w:szCs w:val="22"/>
          </w:rPr>
          <w:t xml:space="preserve"> </w:t>
        </w:r>
      </w:hyperlink>
    </w:p>
    <w:p w:rsidR="009F5BCD" w:rsidRPr="009F5BCD" w:rsidRDefault="009F5BCD" w:rsidP="001C2B7D">
      <w:pPr>
        <w:numPr>
          <w:ilvl w:val="1"/>
          <w:numId w:val="149"/>
        </w:numPr>
        <w:spacing w:after="76"/>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1C2B7D">
      <w:pPr>
        <w:spacing w:after="134"/>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12">
        <w:r w:rsidRPr="009F5BCD">
          <w:rPr>
            <w:color w:val="000000"/>
            <w:szCs w:val="22"/>
          </w:rPr>
          <w:t xml:space="preserve"> </w:t>
        </w:r>
      </w:hyperlink>
      <w:hyperlink r:id="rId113">
        <w:r w:rsidRPr="009F5BCD">
          <w:rPr>
            <w:color w:val="000000"/>
            <w:szCs w:val="22"/>
            <w:u w:val="single" w:color="000000"/>
          </w:rPr>
          <w:t>http://moex.com/a2195</w:t>
        </w:r>
      </w:hyperlink>
      <w:hyperlink r:id="rId114">
        <w:r w:rsidRPr="009F5BCD">
          <w:rPr>
            <w:color w:val="000000"/>
            <w:szCs w:val="22"/>
          </w:rPr>
          <w:t xml:space="preserve"> </w:t>
        </w:r>
      </w:hyperlink>
    </w:p>
    <w:p w:rsidR="00FE530B" w:rsidRDefault="009F5BCD" w:rsidP="001C2B7D">
      <w:pPr>
        <w:spacing w:after="162"/>
        <w:ind w:left="989" w:right="54" w:hanging="10"/>
        <w:jc w:val="both"/>
        <w:rPr>
          <w:color w:val="000000"/>
          <w:szCs w:val="22"/>
        </w:rPr>
      </w:pPr>
      <w:r w:rsidRPr="009F5BCD">
        <w:rPr>
          <w:color w:val="000000"/>
          <w:szCs w:val="22"/>
        </w:rPr>
        <w:t>Архив значений -</w:t>
      </w:r>
      <w:hyperlink r:id="rId115">
        <w:r w:rsidRPr="009F5BCD">
          <w:rPr>
            <w:color w:val="000000"/>
            <w:szCs w:val="22"/>
          </w:rPr>
          <w:t xml:space="preserve"> </w:t>
        </w:r>
      </w:hyperlink>
      <w:hyperlink r:id="rId116">
        <w:r w:rsidRPr="009F5BCD">
          <w:rPr>
            <w:color w:val="000000"/>
            <w:szCs w:val="22"/>
            <w:u w:val="single" w:color="000000"/>
          </w:rPr>
          <w:t>http://moex.com/ru/index/RUCBITRB3Y/archive/</w:t>
        </w:r>
      </w:hyperlink>
      <w:hyperlink r:id="rId117">
        <w:r w:rsidRPr="009F5BCD">
          <w:rPr>
            <w:color w:val="000000"/>
            <w:szCs w:val="22"/>
          </w:rPr>
          <w:t xml:space="preserve"> </w:t>
        </w:r>
      </w:hyperlink>
    </w:p>
    <w:p w:rsidR="00FE530B" w:rsidRDefault="00FE530B">
      <w:pPr>
        <w:rPr>
          <w:color w:val="000000"/>
          <w:szCs w:val="22"/>
        </w:rPr>
      </w:pPr>
      <w:r>
        <w:rPr>
          <w:color w:val="000000"/>
          <w:szCs w:val="22"/>
        </w:rPr>
        <w:br w:type="page"/>
      </w:r>
    </w:p>
    <w:p w:rsidR="009F5BCD" w:rsidRPr="009F5BCD" w:rsidRDefault="009F5BCD" w:rsidP="001C2B7D">
      <w:pPr>
        <w:spacing w:after="162"/>
        <w:ind w:left="989" w:right="54" w:hanging="10"/>
        <w:jc w:val="both"/>
        <w:rPr>
          <w:color w:val="000000"/>
          <w:szCs w:val="22"/>
        </w:rPr>
      </w:pPr>
    </w:p>
    <w:p w:rsidR="009F5BCD" w:rsidRDefault="009F5BCD" w:rsidP="001C2B7D">
      <w:pPr>
        <w:numPr>
          <w:ilvl w:val="0"/>
          <w:numId w:val="149"/>
        </w:numPr>
        <w:spacing w:after="52"/>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p w:rsidR="009E392C" w:rsidRPr="009F5BCD" w:rsidRDefault="009E392C" w:rsidP="009E392C">
      <w:pPr>
        <w:spacing w:after="52"/>
        <w:ind w:right="54"/>
        <w:jc w:val="both"/>
        <w:rPr>
          <w:color w:val="000000"/>
          <w:szCs w:val="22"/>
        </w:rPr>
      </w:pP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9E392C" w:rsidRPr="001E1A10" w:rsidTr="009E392C">
        <w:trPr>
          <w:trHeight w:val="1285"/>
        </w:trPr>
        <w:tc>
          <w:tcPr>
            <w:tcW w:w="3523" w:type="dxa"/>
            <w:tcBorders>
              <w:top w:val="single" w:sz="4" w:space="0" w:color="000000"/>
              <w:left w:val="single" w:sz="4" w:space="0" w:color="000000"/>
              <w:right w:val="single" w:sz="8" w:space="0" w:color="000000"/>
            </w:tcBorders>
            <w:shd w:val="clear" w:color="auto" w:fill="D8D8D8"/>
            <w:vAlign w:val="center"/>
          </w:tcPr>
          <w:p w:rsidR="009E392C" w:rsidRPr="001E1A10" w:rsidRDefault="009E392C" w:rsidP="001C2B7D">
            <w:pPr>
              <w:ind w:right="7"/>
              <w:jc w:val="center"/>
              <w:rPr>
                <w:color w:val="000000"/>
              </w:rPr>
            </w:pPr>
            <w:r>
              <w:rPr>
                <w:b/>
                <w:color w:val="000000"/>
              </w:rPr>
              <w:t>Эксперт РА</w:t>
            </w:r>
          </w:p>
        </w:tc>
        <w:tc>
          <w:tcPr>
            <w:tcW w:w="5192" w:type="dxa"/>
            <w:tcBorders>
              <w:top w:val="single" w:sz="4" w:space="0" w:color="000000"/>
              <w:left w:val="single" w:sz="8" w:space="0" w:color="000000"/>
              <w:bottom w:val="single" w:sz="8" w:space="0" w:color="000000"/>
              <w:right w:val="single" w:sz="4" w:space="0" w:color="000000"/>
            </w:tcBorders>
            <w:shd w:val="clear" w:color="auto" w:fill="F2F2F2"/>
            <w:vAlign w:val="center"/>
          </w:tcPr>
          <w:p w:rsidR="009E392C" w:rsidRPr="001E1A10" w:rsidRDefault="009E392C" w:rsidP="001C2B7D">
            <w:pPr>
              <w:jc w:val="center"/>
              <w:rPr>
                <w:color w:val="000000"/>
              </w:rPr>
            </w:pPr>
            <w:r w:rsidRPr="001E1A10">
              <w:rPr>
                <w:b/>
                <w:color w:val="000000"/>
              </w:rPr>
              <w:t>Индекс</w:t>
            </w:r>
          </w:p>
        </w:tc>
      </w:tr>
      <w:tr w:rsidR="00BB28BA" w:rsidRPr="001E1A10" w:rsidTr="00BB28BA">
        <w:trPr>
          <w:trHeight w:val="636"/>
        </w:trPr>
        <w:tc>
          <w:tcPr>
            <w:tcW w:w="3523" w:type="dxa"/>
            <w:tcBorders>
              <w:top w:val="single" w:sz="8" w:space="0" w:color="000000"/>
              <w:left w:val="single" w:sz="4" w:space="0" w:color="000000"/>
              <w:right w:val="single" w:sz="4" w:space="0" w:color="auto"/>
            </w:tcBorders>
            <w:shd w:val="clear" w:color="auto" w:fill="DEEAF6"/>
            <w:vAlign w:val="center"/>
          </w:tcPr>
          <w:p w:rsidR="00BB28BA" w:rsidRPr="00BB28BA" w:rsidRDefault="00BB28BA" w:rsidP="001C2B7D">
            <w:pPr>
              <w:ind w:right="6"/>
              <w:jc w:val="center"/>
              <w:rPr>
                <w:color w:val="000000"/>
                <w:lang w:val="en-US"/>
              </w:rPr>
            </w:pPr>
            <w:r>
              <w:rPr>
                <w:color w:val="000000"/>
                <w:lang w:val="en-US"/>
              </w:rPr>
              <w:t>ruAAA</w:t>
            </w:r>
          </w:p>
        </w:tc>
        <w:tc>
          <w:tcPr>
            <w:tcW w:w="5192" w:type="dxa"/>
            <w:tcBorders>
              <w:top w:val="single" w:sz="4" w:space="0" w:color="auto"/>
              <w:left w:val="single" w:sz="4" w:space="0" w:color="auto"/>
              <w:bottom w:val="single" w:sz="4" w:space="0" w:color="auto"/>
              <w:right w:val="single" w:sz="4" w:space="0" w:color="auto"/>
            </w:tcBorders>
            <w:shd w:val="clear" w:color="auto" w:fill="DEEAF6"/>
            <w:vAlign w:val="center"/>
          </w:tcPr>
          <w:p w:rsidR="00BB28BA" w:rsidRPr="001E1A10" w:rsidRDefault="00BB28BA" w:rsidP="001C2B7D">
            <w:pPr>
              <w:ind w:right="4"/>
              <w:jc w:val="center"/>
              <w:rPr>
                <w:color w:val="000000"/>
              </w:rPr>
            </w:pPr>
            <w:r w:rsidRPr="001E1A10">
              <w:rPr>
                <w:b/>
                <w:color w:val="000000"/>
              </w:rPr>
              <w:t>RUCBITRBBB3Y</w:t>
            </w:r>
          </w:p>
        </w:tc>
      </w:tr>
      <w:tr w:rsidR="001E1A10"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1E1A10" w:rsidRPr="00BB28BA" w:rsidRDefault="00BB28BA" w:rsidP="001C2B7D">
            <w:pPr>
              <w:ind w:right="6"/>
              <w:jc w:val="center"/>
              <w:rPr>
                <w:color w:val="000000"/>
                <w:lang w:val="en-US"/>
              </w:rPr>
            </w:pPr>
            <w:r w:rsidRPr="00BB28BA">
              <w:rPr>
                <w:color w:val="000000"/>
                <w:lang w:val="en-US"/>
              </w:rPr>
              <w:t>ruAA+, ruAA</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E1A10" w:rsidRPr="001E1A10" w:rsidRDefault="001E1A10" w:rsidP="001C2B7D">
            <w:pPr>
              <w:ind w:right="1"/>
              <w:jc w:val="center"/>
              <w:rPr>
                <w:color w:val="000000"/>
              </w:rPr>
            </w:pPr>
            <w:r w:rsidRPr="001E1A10">
              <w:rPr>
                <w:b/>
                <w:color w:val="000000"/>
              </w:rPr>
              <w:t>RUCBITRBB3Y</w:t>
            </w: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29"/>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ruBBB</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B28BA" w:rsidRPr="001E1A10" w:rsidRDefault="00BB28BA" w:rsidP="001C2B7D">
            <w:pPr>
              <w:ind w:right="2"/>
              <w:jc w:val="center"/>
              <w:rPr>
                <w:color w:val="000000"/>
              </w:rPr>
            </w:pPr>
            <w:r w:rsidRPr="001E1A10">
              <w:rPr>
                <w:b/>
                <w:color w:val="000000"/>
              </w:rPr>
              <w:t>RUCBITRB3Y</w:t>
            </w:r>
          </w:p>
        </w:tc>
      </w:tr>
      <w:tr w:rsidR="00BB28BA" w:rsidRPr="001E1A10" w:rsidTr="009E392C">
        <w:trPr>
          <w:trHeight w:val="629"/>
        </w:trPr>
        <w:tc>
          <w:tcPr>
            <w:tcW w:w="3523" w:type="dxa"/>
            <w:tcBorders>
              <w:top w:val="single" w:sz="4" w:space="0" w:color="000000"/>
              <w:left w:val="single" w:sz="4" w:space="0" w:color="000000"/>
              <w:bottom w:val="single" w:sz="8"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r w:rsidR="00BB28BA" w:rsidRPr="001E1A10" w:rsidTr="009E392C">
        <w:trPr>
          <w:trHeight w:val="628"/>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bl>
    <w:p w:rsidR="00FE530B" w:rsidRDefault="00FE530B">
      <w:pPr>
        <w:rPr>
          <w:rFonts w:eastAsia="Calibri"/>
          <w:szCs w:val="24"/>
          <w:lang w:eastAsia="en-US"/>
        </w:rPr>
      </w:pPr>
      <w:r>
        <w:rPr>
          <w:rFonts w:eastAsia="Calibri"/>
          <w:szCs w:val="24"/>
          <w:lang w:eastAsia="en-US"/>
        </w:rPr>
        <w:br w:type="page"/>
      </w:r>
    </w:p>
    <w:p w:rsidR="00585C5E" w:rsidRDefault="003A6C53" w:rsidP="00585C5E">
      <w:pPr>
        <w:pStyle w:val="affb"/>
      </w:pPr>
      <w:bookmarkStart w:id="48" w:name="_Toc74043327"/>
      <w:r w:rsidRPr="005D27E1">
        <w:t xml:space="preserve">Приложение </w:t>
      </w:r>
      <w:r w:rsidR="009F5BCD" w:rsidRPr="005D27E1">
        <w:t>6</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8"/>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7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9" w:name="_Toc74043328"/>
      <w:r>
        <w:br w:type="page"/>
      </w:r>
    </w:p>
    <w:p w:rsidR="00585C5E" w:rsidRDefault="00AC6698" w:rsidP="00585C5E">
      <w:pPr>
        <w:pStyle w:val="affb"/>
      </w:pPr>
      <w:r w:rsidRPr="00207827">
        <w:t xml:space="preserve">Приложение </w:t>
      </w:r>
      <w:r w:rsidR="00AB5DD7">
        <w:t>8</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9"/>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sectPr w:rsidR="0055357F" w:rsidSect="00FE530B">
          <w:footerReference w:type="default" r:id="rId118"/>
          <w:pgSz w:w="11906" w:h="16838"/>
          <w:pgMar w:top="851" w:right="1758" w:bottom="1134" w:left="851" w:header="709" w:footer="709" w:gutter="0"/>
          <w:cols w:space="708"/>
          <w:docGrid w:linePitch="360"/>
        </w:sect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55357F">
      <w:pPr>
        <w:spacing w:after="76"/>
        <w:ind w:left="705" w:right="45"/>
        <w:jc w:val="both"/>
        <w:rPr>
          <w:color w:val="000000"/>
          <w:szCs w:val="22"/>
        </w:rPr>
      </w:pPr>
    </w:p>
    <w:p w:rsidR="00AC6698" w:rsidRPr="00585C5E" w:rsidRDefault="00AC6698" w:rsidP="001C2B7D">
      <w:pPr>
        <w:ind w:left="3416"/>
        <w:rPr>
          <w:color w:val="000000"/>
          <w:sz w:val="20"/>
        </w:rPr>
      </w:pPr>
      <w:r w:rsidRPr="00AC6698">
        <w:rPr>
          <w:color w:val="000000"/>
          <w:szCs w:val="22"/>
        </w:rPr>
        <w:t xml:space="preserve"> </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50"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51" w:name="_Toc74043329"/>
      <w:r w:rsidRPr="004A5053">
        <w:t xml:space="preserve">Приложение </w:t>
      </w:r>
      <w:r w:rsidR="00AB5DD7">
        <w:t>9</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51"/>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4" type="#_x0000_t75" style="width:12pt;height:19.5pt" o:ole="">
            <v:imagedata r:id="rId119" o:title=""/>
          </v:shape>
          <o:OLEObject Type="Embed" ProgID="Equation.3" ShapeID="_x0000_i1074" DrawAspect="Content" ObjectID="_1719229837" r:id="rId12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5" type="#_x0000_t75" style="width:16.5pt;height:19.5pt" o:ole="">
            <v:imagedata r:id="rId121" o:title=""/>
          </v:shape>
          <o:OLEObject Type="Embed" ProgID="Equation.3" ShapeID="_x0000_i1075" DrawAspect="Content" ObjectID="_1719229838" r:id="rId12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0"/>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1C1A88"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1C1A88"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1"/>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5E" w:rsidRDefault="00585C5E" w:rsidP="003830AE">
      <w:r>
        <w:separator/>
      </w:r>
    </w:p>
  </w:endnote>
  <w:endnote w:type="continuationSeparator" w:id="0">
    <w:p w:rsidR="00585C5E" w:rsidRDefault="00585C5E"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5E" w:rsidRDefault="00585C5E">
    <w:pPr>
      <w:pStyle w:val="af4"/>
      <w:jc w:val="right"/>
    </w:pPr>
    <w:r>
      <w:fldChar w:fldCharType="begin"/>
    </w:r>
    <w:r>
      <w:instrText>PAGE   \* MERGEFORMAT</w:instrText>
    </w:r>
    <w:r>
      <w:fldChar w:fldCharType="separate"/>
    </w:r>
    <w:r w:rsidR="001C1A88">
      <w:rPr>
        <w:noProof/>
      </w:rPr>
      <w:t>2</w:t>
    </w:r>
    <w:r>
      <w:fldChar w:fldCharType="end"/>
    </w:r>
  </w:p>
  <w:p w:rsidR="00585C5E" w:rsidRDefault="00585C5E">
    <w:pPr>
      <w:pStyle w:val="af4"/>
    </w:pPr>
  </w:p>
  <w:p w:rsidR="00585C5E" w:rsidRDefault="00585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5E" w:rsidRDefault="00585C5E" w:rsidP="003830AE">
      <w:r>
        <w:separator/>
      </w:r>
    </w:p>
  </w:footnote>
  <w:footnote w:type="continuationSeparator" w:id="0">
    <w:p w:rsidR="00585C5E" w:rsidRDefault="00585C5E" w:rsidP="003830AE">
      <w:r>
        <w:continuationSeparator/>
      </w:r>
    </w:p>
  </w:footnote>
  <w:footnote w:id="1">
    <w:p w:rsidR="00585C5E" w:rsidRDefault="00585C5E"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585C5E" w:rsidRDefault="00585C5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585C5E" w:rsidRPr="00934212" w:rsidRDefault="00585C5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585C5E" w:rsidRDefault="00585C5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585C5E" w:rsidRPr="00934212" w:rsidRDefault="00585C5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585C5E" w:rsidRDefault="00585C5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585C5E" w:rsidRPr="00BE449B" w:rsidRDefault="00585C5E"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585C5E" w:rsidRPr="00FC2DDA" w:rsidRDefault="00585C5E"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585C5E" w:rsidRPr="00FD4F9A" w:rsidRDefault="00585C5E"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585C5E" w:rsidRPr="00404E0B" w:rsidRDefault="00585C5E"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585C5E" w:rsidRPr="00404E0B" w:rsidRDefault="00585C5E"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585C5E" w:rsidRPr="00E2653F" w:rsidRDefault="00585C5E"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585C5E" w:rsidRPr="000C2205" w:rsidRDefault="00585C5E"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585C5E" w:rsidRDefault="00585C5E"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585C5E" w:rsidRDefault="00585C5E"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4">
    <w:p w:rsidR="00585C5E" w:rsidRPr="00BB1F30" w:rsidRDefault="00585C5E"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5">
    <w:p w:rsidR="00585C5E" w:rsidRPr="00EB4F7B" w:rsidRDefault="00585C5E"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6">
    <w:p w:rsidR="00585C5E" w:rsidRPr="001E2425" w:rsidRDefault="00585C5E"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585C5E" w:rsidRPr="001E2425" w:rsidRDefault="00585C5E"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7">
    <w:p w:rsidR="00585C5E" w:rsidRDefault="00585C5E" w:rsidP="007D0736">
      <w:pPr>
        <w:pStyle w:val="footnotedescription"/>
      </w:pPr>
      <w:r>
        <w:rPr>
          <w:rStyle w:val="footnotemark"/>
        </w:rPr>
        <w:footnoteRef/>
      </w:r>
      <w:r>
        <w:t xml:space="preserve"> Например, гостиницы, хостелы и т.п. </w:t>
      </w:r>
    </w:p>
  </w:footnote>
  <w:footnote w:id="18">
    <w:p w:rsidR="00585C5E" w:rsidRDefault="00585C5E"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585C5E" w:rsidRDefault="00585C5E" w:rsidP="009F5BCD">
      <w:pPr>
        <w:pStyle w:val="footnotedescription"/>
        <w:spacing w:after="19"/>
      </w:pPr>
      <w:r>
        <w:t xml:space="preserve"> </w:t>
      </w:r>
    </w:p>
  </w:footnote>
  <w:footnote w:id="19">
    <w:p w:rsidR="00585C5E" w:rsidRDefault="00585C5E"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0">
    <w:p w:rsidR="00585C5E" w:rsidRPr="00B14325" w:rsidRDefault="00585C5E"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1">
    <w:p w:rsidR="00585C5E" w:rsidRPr="00FE471A" w:rsidRDefault="00585C5E"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 w:numId="233">
    <w:abstractNumId w:val="149"/>
  </w:num>
  <w:num w:numId="234">
    <w:abstractNumId w:val="149"/>
  </w:num>
  <w:num w:numId="235">
    <w:abstractNumId w:val="149"/>
  </w:num>
  <w:num w:numId="236">
    <w:abstractNumId w:val="14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1A88"/>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5C5E"/>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7466"/>
    <w:rsid w:val="009709E7"/>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45A"/>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6261"/>
    <w:rsid w:val="00D412EB"/>
    <w:rsid w:val="00D425EE"/>
    <w:rsid w:val="00D44548"/>
    <w:rsid w:val="00D44DB3"/>
    <w:rsid w:val="00D455FD"/>
    <w:rsid w:val="00D5553E"/>
    <w:rsid w:val="00D57BCC"/>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1ADA52C3-6457-4E27-B284-BFF4E366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http://moex.com/ru/index/RUCBITRB3Y/archive/" TargetMode="Externa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spglobal.com/ratings/en/research/articles/220413-default-transition-and-recovery-2021-annual-global-corporate-default-and-rating-transition-study-12336975"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e-disclosure.ru/" TargetMode="External"/><Relationship Id="rId95" Type="http://schemas.openxmlformats.org/officeDocument/2006/relationships/hyperlink" Target="https://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s://bankruptcy.kommersant.ru"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footer" Target="footer1.xml"/><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kad.arbitr.ru/" TargetMode="External"/><Relationship Id="rId98" Type="http://schemas.openxmlformats.org/officeDocument/2006/relationships/hyperlink" Target="https://kad.arbitr.ru/" TargetMode="External"/><Relationship Id="rId121"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a2197" TargetMode="External"/><Relationship Id="rId108" Type="http://schemas.openxmlformats.org/officeDocument/2006/relationships/hyperlink" Target="http://moex.com/a2196" TargetMode="External"/><Relationship Id="rId116" Type="http://schemas.openxmlformats.org/officeDocument/2006/relationships/hyperlink" Target="http://moex.com/ru/index/RUCBITRB3Y/archive/" TargetMode="External"/><Relationship Id="rId124"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moex.com/" TargetMode="External"/><Relationship Id="rId96" Type="http://schemas.openxmlformats.org/officeDocument/2006/relationships/hyperlink" Target="https://www.moodys.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ru/index/RUCBITRBBB3Y/archive" TargetMode="External"/><Relationship Id="rId114" Type="http://schemas.openxmlformats.org/officeDocument/2006/relationships/hyperlink" Target="http://moex.com/a2195" TargetMode="External"/><Relationship Id="rId119" Type="http://schemas.openxmlformats.org/officeDocument/2006/relationships/image" Target="media/image32.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s://bankrot.fedresurs.ru" TargetMode="External"/><Relationship Id="rId99" Type="http://schemas.openxmlformats.org/officeDocument/2006/relationships/hyperlink" Target="https://bankrot.fedresurs.ru" TargetMode="External"/><Relationship Id="rId101" Type="http://schemas.openxmlformats.org/officeDocument/2006/relationships/hyperlink" Target="http://moex.com/a2197" TargetMode="External"/><Relationship Id="rId122"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www.gks.ru/accounting_report" TargetMode="External"/><Relationship Id="rId104" Type="http://schemas.openxmlformats.org/officeDocument/2006/relationships/hyperlink" Target="http://moex.com/ru/index/RUCBITRBBB3Y/archive" TargetMode="External"/><Relationship Id="rId120"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cb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B464-9615-46B4-9818-863A7D7B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25773</Words>
  <Characters>146908</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172337</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4</cp:revision>
  <cp:lastPrinted>2021-06-09T10:26:00Z</cp:lastPrinted>
  <dcterms:created xsi:type="dcterms:W3CDTF">2022-07-13T09:08:00Z</dcterms:created>
  <dcterms:modified xsi:type="dcterms:W3CDTF">2022-07-13T11:52:00Z</dcterms:modified>
</cp:coreProperties>
</file>